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color w:val="auto"/>
          <w:sz w:val="36"/>
          <w:szCs w:val="36"/>
        </w:rPr>
      </w:pPr>
      <w:bookmarkStart w:id="1" w:name="_GoBack"/>
      <w:bookmarkEnd w:id="1"/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公共管理类专业分流工作方案</w:t>
      </w:r>
    </w:p>
    <w:p>
      <w:pPr>
        <w:jc w:val="center"/>
        <w:rPr>
          <w:rFonts w:ascii="宋体" w:hAnsi="宋体" w:eastAsia="宋体" w:cs="宋体"/>
          <w:b/>
          <w:bCs/>
          <w:color w:val="auto"/>
          <w:sz w:val="36"/>
          <w:szCs w:val="36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为</w:t>
      </w:r>
      <w:r>
        <w:rPr>
          <w:rFonts w:ascii="仿宋_GB2312" w:hAnsi="仿宋" w:eastAsia="仿宋_GB2312" w:cs="仿宋"/>
          <w:color w:val="auto"/>
          <w:sz w:val="32"/>
          <w:szCs w:val="32"/>
        </w:rPr>
        <w:t>切实做好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专业</w:t>
      </w:r>
      <w:r>
        <w:rPr>
          <w:rFonts w:ascii="仿宋_GB2312" w:hAnsi="仿宋" w:eastAsia="仿宋_GB2312" w:cs="仿宋"/>
          <w:color w:val="auto"/>
          <w:sz w:val="32"/>
          <w:szCs w:val="32"/>
        </w:rPr>
        <w:t>类招生培养与专业分流工作，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依据《河北农业大学普通本科学生专业类培养与专业分流实施办法（试行）》（校教字〔2021〕15号）文件精神，</w:t>
      </w:r>
      <w:r>
        <w:rPr>
          <w:rFonts w:ascii="仿宋_GB2312" w:hAnsi="仿宋" w:eastAsia="仿宋_GB2312" w:cs="仿宋"/>
          <w:color w:val="auto"/>
          <w:sz w:val="32"/>
          <w:szCs w:val="32"/>
        </w:rPr>
        <w:t>结合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专业类</w:t>
      </w:r>
      <w:r>
        <w:rPr>
          <w:rFonts w:ascii="仿宋_GB2312" w:hAnsi="仿宋" w:eastAsia="仿宋_GB2312" w:cs="仿宋"/>
          <w:color w:val="auto"/>
          <w:sz w:val="32"/>
          <w:szCs w:val="32"/>
        </w:rPr>
        <w:t>实际，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制定本方案。</w:t>
      </w:r>
    </w:p>
    <w:p>
      <w:pPr>
        <w:pStyle w:val="4"/>
        <w:shd w:val="clear" w:color="auto" w:fill="FFFFFF"/>
        <w:spacing w:line="560" w:lineRule="exact"/>
        <w:ind w:firstLine="643" w:firstLineChars="200"/>
        <w:jc w:val="both"/>
        <w:textAlignment w:val="baseline"/>
        <w:rPr>
          <w:rFonts w:ascii="仿宋_GB2312" w:hAnsi="华文细黑" w:eastAsia="仿宋_GB2312" w:cs="Arial"/>
          <w:b/>
          <w:bCs/>
          <w:color w:val="auto"/>
          <w:sz w:val="32"/>
          <w:szCs w:val="32"/>
        </w:rPr>
      </w:pPr>
      <w:r>
        <w:rPr>
          <w:rFonts w:hint="eastAsia" w:ascii="仿宋_GB2312" w:hAnsi="华文细黑" w:eastAsia="仿宋_GB2312" w:cs="Arial"/>
          <w:b/>
          <w:bCs/>
          <w:color w:val="auto"/>
          <w:sz w:val="32"/>
          <w:szCs w:val="32"/>
        </w:rPr>
        <w:t>一、组织机构</w:t>
      </w:r>
    </w:p>
    <w:p>
      <w:pPr>
        <w:pStyle w:val="4"/>
        <w:shd w:val="clear" w:color="auto" w:fill="FFFFFF"/>
        <w:spacing w:line="560" w:lineRule="exact"/>
        <w:ind w:firstLine="640" w:firstLineChars="200"/>
        <w:jc w:val="both"/>
        <w:textAlignment w:val="baseline"/>
        <w:rPr>
          <w:rFonts w:ascii="仿宋_GB2312" w:hAnsi="华文细黑" w:eastAsia="仿宋_GB2312" w:cs="Arial"/>
          <w:color w:val="auto"/>
          <w:sz w:val="32"/>
          <w:szCs w:val="32"/>
        </w:rPr>
      </w:pPr>
      <w:r>
        <w:rPr>
          <w:rFonts w:hint="eastAsia" w:ascii="仿宋_GB2312" w:hAnsi="华文细黑" w:eastAsia="仿宋_GB2312" w:cs="Arial"/>
          <w:color w:val="auto"/>
          <w:sz w:val="32"/>
          <w:szCs w:val="32"/>
        </w:rPr>
        <w:t>组  长：张素罗  张蓬涛</w:t>
      </w:r>
    </w:p>
    <w:p>
      <w:pPr>
        <w:pStyle w:val="4"/>
        <w:shd w:val="clear" w:color="auto" w:fill="FFFFFF"/>
        <w:spacing w:line="560" w:lineRule="exact"/>
        <w:ind w:firstLine="640" w:firstLineChars="200"/>
        <w:jc w:val="both"/>
        <w:textAlignment w:val="baseline"/>
        <w:rPr>
          <w:rFonts w:ascii="仿宋_GB2312" w:hAnsi="华文细黑" w:eastAsia="仿宋_GB2312" w:cs="Arial"/>
          <w:color w:val="auto"/>
          <w:sz w:val="32"/>
          <w:szCs w:val="32"/>
        </w:rPr>
      </w:pPr>
      <w:r>
        <w:rPr>
          <w:rFonts w:hint="eastAsia" w:ascii="仿宋_GB2312" w:hAnsi="华文细黑" w:eastAsia="仿宋_GB2312" w:cs="Arial"/>
          <w:color w:val="auto"/>
          <w:sz w:val="32"/>
          <w:szCs w:val="32"/>
        </w:rPr>
        <w:t xml:space="preserve">副组长：房建恩  </w:t>
      </w:r>
      <w:r>
        <w:rPr>
          <w:rFonts w:hint="eastAsia" w:ascii="仿宋_GB2312" w:hAnsi="华文细黑" w:eastAsia="仿宋_GB2312" w:cs="Arial"/>
          <w:color w:val="auto"/>
          <w:sz w:val="32"/>
          <w:szCs w:val="32"/>
          <w:lang w:val="en-US" w:eastAsia="zh-CN"/>
        </w:rPr>
        <w:t xml:space="preserve">周亚鹏  贾金才  </w:t>
      </w:r>
      <w:r>
        <w:rPr>
          <w:rFonts w:hint="eastAsia" w:ascii="仿宋_GB2312" w:hAnsi="华文细黑" w:eastAsia="仿宋_GB2312" w:cs="Arial"/>
          <w:color w:val="auto"/>
          <w:sz w:val="32"/>
          <w:szCs w:val="32"/>
        </w:rPr>
        <w:t>褚宝良</w:t>
      </w:r>
    </w:p>
    <w:p>
      <w:pPr>
        <w:pStyle w:val="4"/>
        <w:shd w:val="clear" w:color="auto" w:fill="FFFFFF"/>
        <w:spacing w:line="560" w:lineRule="exact"/>
        <w:ind w:firstLine="640" w:firstLineChars="200"/>
        <w:jc w:val="both"/>
        <w:textAlignment w:val="baseline"/>
        <w:rPr>
          <w:rFonts w:ascii="仿宋_GB2312" w:hAnsi="华文细黑" w:eastAsia="仿宋_GB2312" w:cs="Arial"/>
          <w:color w:val="auto"/>
          <w:sz w:val="32"/>
          <w:szCs w:val="32"/>
        </w:rPr>
      </w:pPr>
      <w:r>
        <w:rPr>
          <w:rFonts w:hint="eastAsia" w:ascii="仿宋_GB2312" w:hAnsi="华文细黑" w:eastAsia="仿宋_GB2312" w:cs="Arial"/>
          <w:color w:val="auto"/>
          <w:sz w:val="32"/>
          <w:szCs w:val="32"/>
        </w:rPr>
        <w:t xml:space="preserve">组  员：张焘 韩忠治 张长春 弓运泽 李淑文 </w:t>
      </w:r>
      <w:r>
        <w:rPr>
          <w:rFonts w:hint="eastAsia" w:ascii="仿宋_GB2312" w:hAnsi="华文细黑" w:eastAsia="仿宋_GB2312" w:cs="Arial"/>
          <w:color w:val="auto"/>
          <w:sz w:val="32"/>
          <w:szCs w:val="32"/>
          <w:lang w:val="en-US" w:eastAsia="zh-CN"/>
        </w:rPr>
        <w:t xml:space="preserve">杨飞 </w:t>
      </w:r>
      <w:r>
        <w:rPr>
          <w:rFonts w:hint="eastAsia" w:ascii="仿宋_GB2312" w:hAnsi="华文细黑" w:eastAsia="仿宋_GB2312" w:cs="Arial"/>
          <w:color w:val="auto"/>
          <w:sz w:val="32"/>
          <w:szCs w:val="32"/>
        </w:rPr>
        <w:t>宿瑶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ascii="仿宋_GB2312" w:hAnsi="仿宋" w:eastAsia="仿宋_GB2312" w:cs="仿宋"/>
          <w:color w:val="auto"/>
          <w:sz w:val="32"/>
          <w:szCs w:val="32"/>
        </w:rPr>
        <w:t>负责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专业</w:t>
      </w:r>
      <w:r>
        <w:rPr>
          <w:rFonts w:ascii="仿宋_GB2312" w:hAnsi="仿宋" w:eastAsia="仿宋_GB2312" w:cs="仿宋"/>
          <w:color w:val="auto"/>
          <w:sz w:val="32"/>
          <w:szCs w:val="32"/>
        </w:rPr>
        <w:t>类培养与专业分流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的具体实施</w:t>
      </w:r>
      <w:r>
        <w:rPr>
          <w:rFonts w:ascii="仿宋_GB2312" w:hAnsi="仿宋" w:eastAsia="仿宋_GB2312" w:cs="仿宋"/>
          <w:color w:val="auto"/>
          <w:sz w:val="32"/>
          <w:szCs w:val="32"/>
        </w:rPr>
        <w:t>。</w:t>
      </w:r>
    </w:p>
    <w:p>
      <w:pPr>
        <w:pStyle w:val="4"/>
        <w:shd w:val="clear" w:color="auto" w:fill="FFFFFF"/>
        <w:spacing w:line="560" w:lineRule="exact"/>
        <w:ind w:firstLine="643" w:firstLineChars="200"/>
        <w:jc w:val="both"/>
        <w:textAlignment w:val="baseline"/>
        <w:rPr>
          <w:rFonts w:ascii="仿宋_GB2312" w:hAnsi="华文细黑" w:eastAsia="仿宋_GB2312" w:cs="Arial"/>
          <w:b/>
          <w:bCs/>
          <w:color w:val="auto"/>
          <w:sz w:val="32"/>
          <w:szCs w:val="32"/>
        </w:rPr>
      </w:pPr>
      <w:r>
        <w:rPr>
          <w:rFonts w:hint="eastAsia" w:ascii="仿宋_GB2312" w:hAnsi="华文细黑" w:eastAsia="仿宋_GB2312" w:cs="Arial"/>
          <w:b/>
          <w:bCs/>
          <w:color w:val="auto"/>
          <w:sz w:val="32"/>
          <w:szCs w:val="32"/>
        </w:rPr>
        <w:t>二、分流对象</w:t>
      </w:r>
    </w:p>
    <w:p>
      <w:pPr>
        <w:pStyle w:val="4"/>
        <w:shd w:val="clear" w:color="auto" w:fill="FFFFFF"/>
        <w:spacing w:line="560" w:lineRule="exact"/>
        <w:ind w:firstLine="640" w:firstLineChars="200"/>
        <w:jc w:val="both"/>
        <w:textAlignment w:val="baseline"/>
        <w:rPr>
          <w:rFonts w:ascii="仿宋_GB2312" w:hAnsi="华文细黑" w:eastAsia="仿宋_GB2312" w:cs="Arial"/>
          <w:color w:val="auto"/>
          <w:sz w:val="32"/>
          <w:szCs w:val="32"/>
        </w:rPr>
      </w:pPr>
      <w:r>
        <w:rPr>
          <w:rFonts w:hint="eastAsia" w:ascii="仿宋_GB2312" w:hAnsi="华文细黑" w:eastAsia="仿宋_GB2312" w:cs="Arial"/>
          <w:color w:val="auto"/>
          <w:sz w:val="32"/>
          <w:szCs w:val="32"/>
        </w:rPr>
        <w:t>公共管理类招收的普通全日制在校本科生。</w:t>
      </w:r>
    </w:p>
    <w:p>
      <w:pPr>
        <w:pStyle w:val="4"/>
        <w:shd w:val="clear" w:color="auto" w:fill="FFFFFF"/>
        <w:spacing w:line="560" w:lineRule="exact"/>
        <w:ind w:firstLine="643" w:firstLineChars="200"/>
        <w:jc w:val="both"/>
        <w:textAlignment w:val="baseline"/>
        <w:rPr>
          <w:rFonts w:ascii="仿宋_GB2312" w:hAnsi="华文细黑" w:eastAsia="仿宋_GB2312" w:cs="Arial"/>
          <w:b/>
          <w:bCs/>
          <w:color w:val="auto"/>
          <w:sz w:val="32"/>
          <w:szCs w:val="32"/>
        </w:rPr>
      </w:pPr>
      <w:r>
        <w:rPr>
          <w:rFonts w:hint="eastAsia" w:ascii="仿宋_GB2312" w:hAnsi="华文细黑" w:eastAsia="仿宋_GB2312" w:cs="Arial"/>
          <w:b/>
          <w:bCs/>
          <w:color w:val="auto"/>
          <w:sz w:val="32"/>
          <w:szCs w:val="32"/>
        </w:rPr>
        <w:t>三、分流时间</w:t>
      </w:r>
    </w:p>
    <w:p>
      <w:pPr>
        <w:pStyle w:val="4"/>
        <w:widowControl/>
        <w:spacing w:line="560" w:lineRule="exact"/>
        <w:ind w:firstLine="640" w:firstLineChars="200"/>
        <w:jc w:val="both"/>
        <w:rPr>
          <w:rFonts w:ascii="仿宋_GB2312" w:hAnsi="华文细黑" w:eastAsia="仿宋_GB2312" w:cs="Arial"/>
          <w:color w:val="auto"/>
          <w:sz w:val="32"/>
          <w:szCs w:val="32"/>
        </w:rPr>
      </w:pPr>
      <w:r>
        <w:rPr>
          <w:rFonts w:hint="eastAsia" w:ascii="仿宋_GB2312" w:hAnsi="华文细黑" w:eastAsia="仿宋_GB2312" w:cs="Arial"/>
          <w:color w:val="auto"/>
          <w:sz w:val="32"/>
          <w:szCs w:val="32"/>
        </w:rPr>
        <w:t>专业分流在公共管理类学生入学后第2学期初完成。</w:t>
      </w:r>
    </w:p>
    <w:p>
      <w:pPr>
        <w:pStyle w:val="4"/>
        <w:shd w:val="clear" w:color="auto" w:fill="FFFFFF"/>
        <w:spacing w:line="560" w:lineRule="exact"/>
        <w:ind w:firstLine="643" w:firstLineChars="200"/>
        <w:jc w:val="both"/>
        <w:textAlignment w:val="baseline"/>
        <w:rPr>
          <w:rFonts w:ascii="仿宋_GB2312" w:hAnsi="华文细黑" w:eastAsia="仿宋_GB2312" w:cs="Arial"/>
          <w:b/>
          <w:bCs/>
          <w:color w:val="auto"/>
          <w:sz w:val="32"/>
          <w:szCs w:val="32"/>
        </w:rPr>
      </w:pPr>
      <w:r>
        <w:rPr>
          <w:rFonts w:hint="eastAsia" w:ascii="仿宋_GB2312" w:hAnsi="华文细黑" w:eastAsia="仿宋_GB2312" w:cs="Arial"/>
          <w:b/>
          <w:bCs/>
          <w:color w:val="auto"/>
          <w:sz w:val="32"/>
          <w:szCs w:val="32"/>
        </w:rPr>
        <w:t>四、分流原则</w:t>
      </w:r>
    </w:p>
    <w:p>
      <w:pPr>
        <w:widowControl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华文细黑" w:eastAsia="仿宋_GB2312" w:cs="Arial"/>
          <w:color w:val="auto"/>
          <w:sz w:val="32"/>
          <w:szCs w:val="32"/>
        </w:rPr>
        <w:t>1.</w:t>
      </w:r>
      <w:r>
        <w:rPr>
          <w:rFonts w:hint="eastAsia" w:ascii="仿宋_GB2312" w:hAnsi="华文细黑" w:eastAsia="仿宋_GB2312" w:cs="宋体"/>
          <w:color w:val="auto"/>
          <w:kern w:val="0"/>
          <w:sz w:val="32"/>
          <w:szCs w:val="32"/>
        </w:rPr>
        <w:t>坚持“公平、公正、公开”，专业分流工作程序公开透明、选择机会公平平等、学分绩点客观准确。</w:t>
      </w:r>
    </w:p>
    <w:p>
      <w:pPr>
        <w:widowControl/>
        <w:spacing w:line="560" w:lineRule="exact"/>
        <w:ind w:firstLine="640" w:firstLineChars="200"/>
        <w:rPr>
          <w:rFonts w:ascii="仿宋_GB2312" w:hAnsi="华文细黑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华文细黑" w:eastAsia="仿宋_GB2312" w:cs="Arial"/>
          <w:color w:val="auto"/>
          <w:sz w:val="32"/>
          <w:szCs w:val="32"/>
        </w:rPr>
        <w:t>2.</w:t>
      </w:r>
      <w:r>
        <w:rPr>
          <w:rFonts w:hint="eastAsia" w:ascii="仿宋_GB2312" w:hAnsi="华文细黑" w:eastAsia="仿宋_GB2312" w:cs="宋体"/>
          <w:color w:val="auto"/>
          <w:kern w:val="0"/>
          <w:sz w:val="32"/>
          <w:szCs w:val="32"/>
        </w:rPr>
        <w:t>专业优化与规模控制相结合。分流专业人数原则上按年度分专业预设招生计划执行；学校综合专业的社会需求、专业布局和教学条件等因素，适当统筹调整专业分流人数限制，以推进专业结构优化和可持续发展。</w:t>
      </w:r>
    </w:p>
    <w:p>
      <w:pPr>
        <w:widowControl/>
        <w:spacing w:line="560" w:lineRule="exact"/>
        <w:ind w:firstLine="640" w:firstLineChars="200"/>
        <w:rPr>
          <w:rFonts w:ascii="仿宋_GB2312" w:hAnsi="华文细黑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华文细黑" w:eastAsia="仿宋_GB2312" w:cs="Arial"/>
          <w:color w:val="auto"/>
          <w:sz w:val="32"/>
          <w:szCs w:val="32"/>
        </w:rPr>
        <w:t>3.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</w:rPr>
        <w:t>分数优先与遵循志愿相结合。</w:t>
      </w:r>
      <w:r>
        <w:rPr>
          <w:rFonts w:hint="eastAsia" w:ascii="仿宋_GB2312" w:hAnsi="华文细黑" w:eastAsia="仿宋_GB2312" w:cs="Arial"/>
          <w:color w:val="auto"/>
          <w:sz w:val="32"/>
          <w:szCs w:val="32"/>
        </w:rPr>
        <w:t>专业分流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</w:rPr>
        <w:t>时按照公共管理类学生入学后</w:t>
      </w:r>
      <w:r>
        <w:rPr>
          <w:rFonts w:hint="eastAsia" w:ascii="仿宋_GB2312" w:hAnsi="华文细黑" w:eastAsia="仿宋_GB2312" w:cs="Arial"/>
          <w:color w:val="auto"/>
          <w:sz w:val="32"/>
          <w:szCs w:val="32"/>
        </w:rPr>
        <w:t>第1学期所学课程平均学分绩点从高分到低分排序，遵循学生志愿顺序依次选择专业。当平均学分绩点相同时，依次按中国近现代史纲要、思想道德与法制、外语、高考入学总成绩由高分到低分排序依次选择专业。</w:t>
      </w:r>
    </w:p>
    <w:p>
      <w:pPr>
        <w:pStyle w:val="4"/>
        <w:shd w:val="clear" w:color="auto" w:fill="FFFFFF"/>
        <w:spacing w:line="560" w:lineRule="exact"/>
        <w:ind w:firstLine="643" w:firstLineChars="200"/>
        <w:jc w:val="both"/>
        <w:textAlignment w:val="baseline"/>
        <w:rPr>
          <w:rFonts w:ascii="仿宋_GB2312" w:hAnsi="华文细黑" w:eastAsia="仿宋_GB2312" w:cs="Arial"/>
          <w:b/>
          <w:bCs/>
          <w:color w:val="auto"/>
          <w:sz w:val="32"/>
          <w:szCs w:val="32"/>
        </w:rPr>
      </w:pPr>
      <w:r>
        <w:rPr>
          <w:rFonts w:hint="eastAsia" w:ascii="仿宋_GB2312" w:hAnsi="华文细黑" w:eastAsia="仿宋_GB2312" w:cs="Arial"/>
          <w:b/>
          <w:bCs/>
          <w:color w:val="auto"/>
          <w:sz w:val="32"/>
          <w:szCs w:val="32"/>
        </w:rPr>
        <w:t>五、工作程序</w:t>
      </w:r>
    </w:p>
    <w:p>
      <w:pPr>
        <w:pStyle w:val="4"/>
        <w:shd w:val="clear" w:color="auto" w:fill="FFFFFF"/>
        <w:spacing w:line="560" w:lineRule="exact"/>
        <w:ind w:firstLine="640" w:firstLineChars="200"/>
        <w:jc w:val="both"/>
        <w:textAlignment w:val="baseline"/>
        <w:rPr>
          <w:rFonts w:ascii="仿宋_GB2312" w:hAnsi="华文细黑" w:eastAsia="仿宋_GB2312" w:cs="Arial"/>
          <w:color w:val="auto"/>
          <w:sz w:val="32"/>
          <w:szCs w:val="32"/>
        </w:rPr>
      </w:pPr>
      <w:r>
        <w:rPr>
          <w:rFonts w:hint="eastAsia" w:ascii="仿宋_GB2312" w:hAnsi="华文细黑" w:eastAsia="仿宋_GB2312" w:cs="Arial"/>
          <w:color w:val="auto"/>
          <w:sz w:val="32"/>
          <w:szCs w:val="32"/>
        </w:rPr>
        <w:t>1.公布分流专业人数。学生入学教育时通过学院官网、公告栏等方式予以公布。公共管理类分流专业人数见附件1。</w:t>
      </w:r>
    </w:p>
    <w:p>
      <w:pPr>
        <w:pStyle w:val="4"/>
        <w:shd w:val="clear" w:color="auto" w:fill="FFFFFF"/>
        <w:spacing w:line="560" w:lineRule="exact"/>
        <w:ind w:firstLine="640" w:firstLineChars="200"/>
        <w:jc w:val="both"/>
        <w:textAlignment w:val="baseline"/>
        <w:rPr>
          <w:rFonts w:ascii="仿宋_GB2312" w:hAnsi="华文细黑" w:eastAsia="仿宋_GB2312" w:cs="Arial"/>
          <w:color w:val="auto"/>
          <w:sz w:val="32"/>
          <w:szCs w:val="32"/>
        </w:rPr>
      </w:pPr>
      <w:r>
        <w:rPr>
          <w:rFonts w:ascii="仿宋_GB2312" w:hAnsi="华文细黑" w:eastAsia="仿宋_GB2312" w:cs="Arial"/>
          <w:color w:val="auto"/>
          <w:sz w:val="32"/>
          <w:szCs w:val="32"/>
        </w:rPr>
        <w:t>2</w:t>
      </w:r>
      <w:r>
        <w:rPr>
          <w:rFonts w:hint="eastAsia" w:ascii="仿宋_GB2312" w:hAnsi="华文细黑" w:eastAsia="仿宋_GB2312" w:cs="Arial"/>
          <w:color w:val="auto"/>
          <w:sz w:val="32"/>
          <w:szCs w:val="32"/>
        </w:rPr>
        <w:t>.分流指导。由人文社会科学学院和国土资源学院，通过报告会等方式面向学生开展专业教育、职业生涯规划及政策宣讲等指导活动，并向学生提供专业类招生培养和专业分流的相关咨询。</w:t>
      </w:r>
    </w:p>
    <w:p>
      <w:pPr>
        <w:pStyle w:val="4"/>
        <w:shd w:val="clear" w:color="auto" w:fill="FFFFFF"/>
        <w:spacing w:line="560" w:lineRule="exact"/>
        <w:ind w:firstLine="640" w:firstLineChars="200"/>
        <w:jc w:val="both"/>
        <w:textAlignment w:val="baseline"/>
        <w:rPr>
          <w:rFonts w:ascii="仿宋_GB2312" w:hAnsi="华文细黑" w:eastAsia="仿宋_GB2312" w:cs="Arial"/>
          <w:color w:val="auto"/>
          <w:sz w:val="32"/>
          <w:szCs w:val="32"/>
        </w:rPr>
      </w:pPr>
      <w:r>
        <w:rPr>
          <w:rFonts w:ascii="仿宋_GB2312" w:hAnsi="华文细黑" w:eastAsia="仿宋_GB2312" w:cs="Arial"/>
          <w:color w:val="auto"/>
          <w:sz w:val="32"/>
          <w:szCs w:val="32"/>
        </w:rPr>
        <w:t>3</w:t>
      </w:r>
      <w:r>
        <w:rPr>
          <w:rFonts w:hint="eastAsia" w:ascii="仿宋_GB2312" w:hAnsi="华文细黑" w:eastAsia="仿宋_GB2312" w:cs="Arial"/>
          <w:color w:val="auto"/>
          <w:sz w:val="32"/>
          <w:szCs w:val="32"/>
        </w:rPr>
        <w:t>.发布通知。在专业类学生第1学期末，发布专业类招生培养与专业分流工作通知。</w:t>
      </w:r>
      <w:bookmarkStart w:id="0" w:name="_Hlk79396380"/>
    </w:p>
    <w:bookmarkEnd w:id="0"/>
    <w:p>
      <w:pPr>
        <w:pStyle w:val="4"/>
        <w:shd w:val="clear" w:color="auto" w:fill="FFFFFF"/>
        <w:spacing w:line="560" w:lineRule="exact"/>
        <w:ind w:firstLine="640" w:firstLineChars="200"/>
        <w:jc w:val="both"/>
        <w:textAlignment w:val="baseline"/>
        <w:rPr>
          <w:rFonts w:ascii="仿宋_GB2312" w:hAnsi="华文细黑" w:eastAsia="仿宋_GB2312" w:cs="Arial"/>
          <w:color w:val="auto"/>
          <w:sz w:val="32"/>
          <w:szCs w:val="32"/>
        </w:rPr>
      </w:pPr>
      <w:r>
        <w:rPr>
          <w:rFonts w:hint="eastAsia" w:ascii="仿宋_GB2312" w:hAnsi="华文细黑" w:eastAsia="仿宋_GB2312" w:cs="Arial"/>
          <w:color w:val="auto"/>
          <w:sz w:val="32"/>
          <w:szCs w:val="32"/>
        </w:rPr>
        <w:t>4.志愿填报。学生自主填报分流专业志愿，专业志愿需覆盖专业类内所有分流专业，如有放弃，视为服从专业调剂。志愿填报线上线下同时进行，且必须一致。专业分流志愿填报表见附件2。</w:t>
      </w:r>
    </w:p>
    <w:p>
      <w:pPr>
        <w:pStyle w:val="4"/>
        <w:shd w:val="clear" w:color="auto" w:fill="FFFFFF"/>
        <w:spacing w:line="560" w:lineRule="exact"/>
        <w:ind w:firstLine="640" w:firstLineChars="200"/>
        <w:jc w:val="both"/>
        <w:textAlignment w:val="baseline"/>
        <w:rPr>
          <w:rFonts w:ascii="仿宋_GB2312" w:hAnsi="华文细黑" w:eastAsia="仿宋_GB2312" w:cs="Arial"/>
          <w:color w:val="auto"/>
          <w:sz w:val="32"/>
          <w:szCs w:val="32"/>
        </w:rPr>
      </w:pPr>
      <w:r>
        <w:rPr>
          <w:rFonts w:hint="eastAsia" w:ascii="仿宋_GB2312" w:hAnsi="华文细黑" w:eastAsia="仿宋_GB2312" w:cs="Arial"/>
          <w:color w:val="auto"/>
          <w:sz w:val="32"/>
          <w:szCs w:val="32"/>
        </w:rPr>
        <w:t xml:space="preserve">5.成绩公示。通过学院官网、公告栏等方式对专业类学生第1学期所学课程平均学分绩点排名进行公示3天。 </w:t>
      </w:r>
    </w:p>
    <w:p>
      <w:pPr>
        <w:pStyle w:val="4"/>
        <w:shd w:val="clear" w:color="auto" w:fill="FFFFFF"/>
        <w:spacing w:line="560" w:lineRule="exact"/>
        <w:ind w:firstLine="640" w:firstLineChars="200"/>
        <w:jc w:val="both"/>
        <w:textAlignment w:val="baseline"/>
        <w:rPr>
          <w:rFonts w:ascii="仿宋_GB2312" w:hAnsi="华文细黑" w:eastAsia="仿宋_GB2312" w:cs="Arial"/>
          <w:color w:val="auto"/>
          <w:sz w:val="32"/>
          <w:szCs w:val="32"/>
        </w:rPr>
      </w:pPr>
      <w:r>
        <w:rPr>
          <w:rFonts w:hint="eastAsia" w:ascii="仿宋_GB2312" w:hAnsi="华文细黑" w:eastAsia="仿宋_GB2312" w:cs="Arial"/>
          <w:color w:val="auto"/>
          <w:sz w:val="32"/>
          <w:szCs w:val="32"/>
        </w:rPr>
        <w:t>6.名单公示。按照分流原则确定分流专业学生名单，通过学院官网、公告栏等方式公示2天。</w:t>
      </w:r>
    </w:p>
    <w:p>
      <w:pPr>
        <w:pStyle w:val="4"/>
        <w:shd w:val="clear" w:color="auto" w:fill="FFFFFF"/>
        <w:spacing w:line="560" w:lineRule="exact"/>
        <w:ind w:firstLine="640" w:firstLineChars="200"/>
        <w:jc w:val="both"/>
        <w:textAlignment w:val="baseline"/>
        <w:rPr>
          <w:rFonts w:ascii="仿宋_GB2312" w:hAnsi="华文细黑" w:eastAsia="仿宋_GB2312" w:cs="Arial"/>
          <w:color w:val="auto"/>
          <w:sz w:val="32"/>
          <w:szCs w:val="32"/>
        </w:rPr>
      </w:pPr>
      <w:r>
        <w:rPr>
          <w:rFonts w:hint="eastAsia" w:ascii="仿宋_GB2312" w:hAnsi="华文细黑" w:eastAsia="仿宋_GB2312" w:cs="Arial"/>
          <w:color w:val="auto"/>
          <w:sz w:val="32"/>
          <w:szCs w:val="32"/>
        </w:rPr>
        <w:t>7.材料报送。公示无异议后，专业分流汇总名单报教务处审核备案。</w:t>
      </w:r>
    </w:p>
    <w:p>
      <w:pPr>
        <w:pStyle w:val="4"/>
        <w:shd w:val="clear" w:color="auto" w:fill="FFFFFF"/>
        <w:spacing w:line="560" w:lineRule="exact"/>
        <w:ind w:firstLine="640" w:firstLineChars="200"/>
        <w:jc w:val="both"/>
        <w:textAlignment w:val="baseline"/>
        <w:rPr>
          <w:rFonts w:ascii="仿宋_GB2312" w:hAnsi="华文细黑" w:eastAsia="仿宋_GB2312" w:cs="Arial"/>
          <w:color w:val="auto"/>
          <w:sz w:val="32"/>
          <w:szCs w:val="32"/>
        </w:rPr>
      </w:pPr>
      <w:r>
        <w:rPr>
          <w:rFonts w:hint="eastAsia" w:ascii="仿宋_GB2312" w:hAnsi="华文细黑" w:eastAsia="仿宋_GB2312" w:cs="Arial"/>
          <w:color w:val="auto"/>
          <w:sz w:val="32"/>
          <w:szCs w:val="32"/>
        </w:rPr>
        <w:t>8.确定结果。教务处审核后，在教务处主页公示3天，公示无异议后，公布专业分流学生名单。</w:t>
      </w:r>
    </w:p>
    <w:p>
      <w:pPr>
        <w:pStyle w:val="4"/>
        <w:shd w:val="clear" w:color="auto" w:fill="FFFFFF"/>
        <w:spacing w:line="560" w:lineRule="exact"/>
        <w:ind w:firstLine="640" w:firstLineChars="200"/>
        <w:jc w:val="both"/>
        <w:textAlignment w:val="baseline"/>
        <w:rPr>
          <w:rFonts w:ascii="仿宋_GB2312" w:hAnsi="华文细黑" w:eastAsia="仿宋_GB2312" w:cs="Arial"/>
          <w:color w:val="auto"/>
          <w:sz w:val="32"/>
          <w:szCs w:val="32"/>
        </w:rPr>
      </w:pPr>
      <w:r>
        <w:rPr>
          <w:rFonts w:hint="eastAsia" w:ascii="仿宋_GB2312" w:hAnsi="华文细黑" w:eastAsia="仿宋_GB2312" w:cs="Arial"/>
          <w:color w:val="auto"/>
          <w:sz w:val="32"/>
          <w:szCs w:val="32"/>
        </w:rPr>
        <w:t>9.专业分流。学生从第2学年开始进入相应专业培养。</w:t>
      </w:r>
    </w:p>
    <w:p>
      <w:pPr>
        <w:pStyle w:val="4"/>
        <w:shd w:val="clear" w:color="auto" w:fill="FFFFFF"/>
        <w:spacing w:line="560" w:lineRule="exact"/>
        <w:ind w:firstLine="643" w:firstLineChars="200"/>
        <w:jc w:val="both"/>
        <w:textAlignment w:val="baseline"/>
        <w:rPr>
          <w:rFonts w:ascii="仿宋_GB2312" w:hAnsi="华文细黑" w:eastAsia="仿宋_GB2312" w:cs="Arial"/>
          <w:b/>
          <w:bCs/>
          <w:color w:val="auto"/>
          <w:sz w:val="32"/>
          <w:szCs w:val="32"/>
        </w:rPr>
      </w:pPr>
      <w:r>
        <w:rPr>
          <w:rFonts w:hint="eastAsia" w:ascii="仿宋_GB2312" w:hAnsi="华文细黑" w:eastAsia="仿宋_GB2312" w:cs="Arial"/>
          <w:b/>
          <w:bCs/>
          <w:color w:val="auto"/>
          <w:sz w:val="32"/>
          <w:szCs w:val="32"/>
        </w:rPr>
        <w:t>六、申诉方式</w:t>
      </w:r>
    </w:p>
    <w:p>
      <w:pPr>
        <w:pStyle w:val="4"/>
        <w:shd w:val="clear" w:color="auto" w:fill="FFFFFF"/>
        <w:spacing w:line="560" w:lineRule="exact"/>
        <w:ind w:firstLine="640" w:firstLineChars="200"/>
        <w:jc w:val="both"/>
        <w:textAlignment w:val="baseline"/>
        <w:rPr>
          <w:rFonts w:ascii="仿宋_GB2312" w:hAnsi="华文细黑" w:eastAsia="仿宋_GB2312" w:cs="Arial"/>
          <w:color w:val="auto"/>
          <w:sz w:val="32"/>
          <w:szCs w:val="32"/>
        </w:rPr>
      </w:pPr>
      <w:r>
        <w:rPr>
          <w:rFonts w:hint="eastAsia" w:ascii="仿宋_GB2312" w:hAnsi="华文细黑" w:eastAsia="仿宋_GB2312" w:cs="Arial"/>
          <w:color w:val="auto"/>
          <w:sz w:val="32"/>
          <w:szCs w:val="32"/>
        </w:rPr>
        <w:t>学生对专业分流结果不服，可按照《河北农业大学学生校内申诉办法》提出申诉。</w:t>
      </w:r>
    </w:p>
    <w:p>
      <w:pPr>
        <w:pStyle w:val="4"/>
        <w:shd w:val="clear" w:color="auto" w:fill="FFFFFF"/>
        <w:spacing w:line="560" w:lineRule="exact"/>
        <w:ind w:firstLine="643" w:firstLineChars="200"/>
        <w:jc w:val="both"/>
        <w:textAlignment w:val="baseline"/>
        <w:rPr>
          <w:rFonts w:ascii="仿宋_GB2312" w:hAnsi="华文细黑" w:eastAsia="仿宋_GB2312" w:cs="Arial"/>
          <w:b/>
          <w:bCs/>
          <w:color w:val="auto"/>
          <w:sz w:val="32"/>
          <w:szCs w:val="32"/>
        </w:rPr>
      </w:pPr>
      <w:r>
        <w:rPr>
          <w:rFonts w:hint="eastAsia" w:ascii="仿宋_GB2312" w:hAnsi="华文细黑" w:eastAsia="仿宋_GB2312" w:cs="Arial"/>
          <w:b/>
          <w:bCs/>
          <w:color w:val="auto"/>
          <w:sz w:val="32"/>
          <w:szCs w:val="32"/>
        </w:rPr>
        <w:t>七、其他说明</w:t>
      </w:r>
    </w:p>
    <w:p>
      <w:pPr>
        <w:widowControl/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华文细黑" w:eastAsia="仿宋_GB2312" w:cs="Arial"/>
          <w:color w:val="auto"/>
          <w:sz w:val="32"/>
          <w:szCs w:val="32"/>
        </w:rPr>
        <w:t>（一）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shd w:val="clear" w:color="auto" w:fill="FFFFFF"/>
        </w:rPr>
        <w:t>高考体检受限学生不能分流到受限相关专业。</w:t>
      </w:r>
    </w:p>
    <w:p>
      <w:pPr>
        <w:pStyle w:val="4"/>
        <w:shd w:val="clear" w:color="auto" w:fill="FFFFFF"/>
        <w:spacing w:line="560" w:lineRule="exact"/>
        <w:ind w:firstLine="640" w:firstLineChars="200"/>
        <w:jc w:val="both"/>
        <w:textAlignment w:val="baseline"/>
        <w:rPr>
          <w:rFonts w:ascii="仿宋_GB2312" w:hAnsi="华文细黑" w:eastAsia="仿宋_GB2312" w:cs="Arial"/>
          <w:color w:val="auto"/>
          <w:sz w:val="32"/>
          <w:szCs w:val="32"/>
        </w:rPr>
      </w:pPr>
      <w:r>
        <w:rPr>
          <w:rFonts w:hint="eastAsia" w:ascii="仿宋_GB2312" w:hAnsi="华文细黑" w:eastAsia="仿宋_GB2312" w:cs="Arial"/>
          <w:color w:val="auto"/>
          <w:sz w:val="32"/>
          <w:szCs w:val="32"/>
        </w:rPr>
        <w:t>（二）对在专业分流前休学的学生，复学后先在专业类中修读，而后参与专业分流。</w:t>
      </w:r>
    </w:p>
    <w:p>
      <w:pPr>
        <w:pStyle w:val="4"/>
        <w:shd w:val="clear" w:color="auto" w:fill="FFFFFF"/>
        <w:spacing w:line="560" w:lineRule="exact"/>
        <w:ind w:firstLine="643" w:firstLineChars="200"/>
        <w:jc w:val="both"/>
        <w:textAlignment w:val="baseline"/>
        <w:rPr>
          <w:rFonts w:ascii="仿宋_GB2312" w:hAnsi="华文细黑" w:eastAsia="仿宋_GB2312" w:cs="Arial"/>
          <w:b/>
          <w:bCs/>
          <w:color w:val="auto"/>
          <w:sz w:val="32"/>
          <w:szCs w:val="32"/>
        </w:rPr>
      </w:pPr>
      <w:r>
        <w:rPr>
          <w:rFonts w:hint="eastAsia" w:ascii="仿宋_GB2312" w:hAnsi="华文细黑" w:eastAsia="仿宋_GB2312" w:cs="Arial"/>
          <w:b/>
          <w:bCs/>
          <w:color w:val="auto"/>
          <w:sz w:val="32"/>
          <w:szCs w:val="32"/>
        </w:rPr>
        <w:t>（三）对招生录取时有特殊要求或以特殊形式招生的学生，先在专业类中修读，而后不参与专业分流，按既定专业进行修读。</w:t>
      </w:r>
    </w:p>
    <w:p>
      <w:pPr>
        <w:pStyle w:val="4"/>
        <w:shd w:val="clear" w:color="auto" w:fill="FFFFFF"/>
        <w:spacing w:line="560" w:lineRule="exact"/>
        <w:ind w:firstLine="640" w:firstLineChars="200"/>
        <w:jc w:val="both"/>
        <w:textAlignment w:val="baseline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华文细黑" w:eastAsia="仿宋_GB2312" w:cs="Arial"/>
          <w:color w:val="auto"/>
          <w:sz w:val="32"/>
          <w:szCs w:val="32"/>
        </w:rPr>
        <w:t>（四）专业分流结果一经确定，不能变更，学生须按照确定后的专业进行修读。</w:t>
      </w:r>
    </w:p>
    <w:p>
      <w:pPr>
        <w:jc w:val="left"/>
        <w:rPr>
          <w:b/>
          <w:bCs/>
          <w:color w:val="auto"/>
          <w:sz w:val="28"/>
          <w:szCs w:val="28"/>
        </w:rPr>
      </w:pPr>
    </w:p>
    <w:p>
      <w:pPr>
        <w:pageBreakBefore/>
        <w:jc w:val="left"/>
        <w:rPr>
          <w:b/>
          <w:bCs/>
          <w:color w:val="auto"/>
          <w:sz w:val="28"/>
          <w:szCs w:val="28"/>
        </w:rPr>
      </w:pPr>
      <w:r>
        <w:rPr>
          <w:rFonts w:hint="eastAsia"/>
          <w:b/>
          <w:bCs/>
          <w:color w:val="auto"/>
          <w:sz w:val="28"/>
          <w:szCs w:val="28"/>
        </w:rPr>
        <w:t>附件1：</w:t>
      </w:r>
    </w:p>
    <w:tbl>
      <w:tblPr>
        <w:tblStyle w:val="5"/>
        <w:tblpPr w:leftFromText="180" w:rightFromText="180" w:vertAnchor="page" w:horzAnchor="page" w:tblpX="1675" w:tblpY="3070"/>
        <w:tblOverlap w:val="never"/>
        <w:tblW w:w="86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5"/>
        <w:gridCol w:w="4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分流专业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分流专业人数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公共事业管理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土地资源管理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秘书学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60</w:t>
            </w:r>
          </w:p>
        </w:tc>
      </w:tr>
    </w:tbl>
    <w:p>
      <w:pPr>
        <w:jc w:val="center"/>
        <w:rPr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</w:rPr>
        <w:t>2021级公共管理类分流专业及人数</w:t>
      </w:r>
    </w:p>
    <w:p>
      <w:pPr>
        <w:jc w:val="left"/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</w:pPr>
    </w:p>
    <w:p>
      <w:pPr>
        <w:jc w:val="left"/>
        <w:rPr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>注：有1名高水平运动员不参与分流，直接进入公共事业管理专业学习，有4名高水平运动员不参与分流，直接进入土地资源管理专业学习。</w:t>
      </w:r>
    </w:p>
    <w:p>
      <w:pPr>
        <w:jc w:val="left"/>
        <w:rPr>
          <w:b/>
          <w:bCs/>
          <w:color w:val="auto"/>
          <w:sz w:val="28"/>
          <w:szCs w:val="28"/>
        </w:rPr>
      </w:pPr>
    </w:p>
    <w:p>
      <w:pPr>
        <w:jc w:val="left"/>
        <w:rPr>
          <w:b/>
          <w:bCs/>
          <w:color w:val="auto"/>
          <w:sz w:val="28"/>
          <w:szCs w:val="28"/>
        </w:rPr>
      </w:pPr>
    </w:p>
    <w:p>
      <w:pPr>
        <w:jc w:val="left"/>
        <w:rPr>
          <w:b/>
          <w:bCs/>
          <w:color w:val="auto"/>
          <w:sz w:val="28"/>
          <w:szCs w:val="28"/>
        </w:rPr>
      </w:pPr>
    </w:p>
    <w:p>
      <w:pPr>
        <w:jc w:val="left"/>
        <w:rPr>
          <w:b/>
          <w:bCs/>
          <w:color w:val="auto"/>
          <w:sz w:val="28"/>
          <w:szCs w:val="28"/>
        </w:rPr>
      </w:pPr>
    </w:p>
    <w:p>
      <w:pPr>
        <w:jc w:val="left"/>
        <w:rPr>
          <w:b/>
          <w:bCs/>
          <w:color w:val="auto"/>
          <w:sz w:val="28"/>
          <w:szCs w:val="28"/>
        </w:rPr>
      </w:pPr>
    </w:p>
    <w:p>
      <w:pPr>
        <w:jc w:val="left"/>
        <w:rPr>
          <w:b/>
          <w:bCs/>
          <w:color w:val="auto"/>
          <w:sz w:val="28"/>
          <w:szCs w:val="28"/>
        </w:rPr>
      </w:pPr>
    </w:p>
    <w:p>
      <w:pPr>
        <w:jc w:val="left"/>
        <w:rPr>
          <w:b/>
          <w:bCs/>
          <w:color w:val="auto"/>
          <w:sz w:val="28"/>
          <w:szCs w:val="28"/>
        </w:rPr>
      </w:pPr>
    </w:p>
    <w:p>
      <w:pPr>
        <w:jc w:val="left"/>
        <w:rPr>
          <w:b/>
          <w:bCs/>
          <w:color w:val="auto"/>
          <w:sz w:val="28"/>
          <w:szCs w:val="28"/>
        </w:rPr>
      </w:pPr>
    </w:p>
    <w:p>
      <w:pPr>
        <w:jc w:val="left"/>
        <w:rPr>
          <w:b/>
          <w:bCs/>
          <w:color w:val="auto"/>
          <w:sz w:val="28"/>
          <w:szCs w:val="28"/>
        </w:rPr>
      </w:pPr>
    </w:p>
    <w:p>
      <w:pPr>
        <w:jc w:val="left"/>
        <w:rPr>
          <w:b/>
          <w:bCs/>
          <w:color w:val="auto"/>
          <w:sz w:val="28"/>
          <w:szCs w:val="28"/>
        </w:rPr>
      </w:pPr>
    </w:p>
    <w:p>
      <w:pPr>
        <w:jc w:val="left"/>
        <w:rPr>
          <w:b/>
          <w:bCs/>
          <w:color w:val="auto"/>
          <w:sz w:val="28"/>
          <w:szCs w:val="28"/>
        </w:rPr>
      </w:pPr>
    </w:p>
    <w:p>
      <w:pPr>
        <w:jc w:val="left"/>
        <w:rPr>
          <w:b/>
          <w:bCs/>
          <w:color w:val="auto"/>
          <w:sz w:val="28"/>
          <w:szCs w:val="28"/>
        </w:rPr>
      </w:pPr>
    </w:p>
    <w:p>
      <w:pPr>
        <w:jc w:val="left"/>
        <w:rPr>
          <w:b/>
          <w:bCs/>
          <w:color w:val="auto"/>
          <w:sz w:val="28"/>
          <w:szCs w:val="28"/>
        </w:rPr>
      </w:pPr>
    </w:p>
    <w:p>
      <w:pPr>
        <w:jc w:val="left"/>
        <w:rPr>
          <w:b/>
          <w:bCs/>
          <w:color w:val="auto"/>
          <w:sz w:val="28"/>
          <w:szCs w:val="28"/>
        </w:rPr>
      </w:pPr>
    </w:p>
    <w:p>
      <w:pPr>
        <w:jc w:val="left"/>
        <w:rPr>
          <w:b/>
          <w:bCs/>
          <w:color w:val="auto"/>
          <w:sz w:val="28"/>
          <w:szCs w:val="28"/>
        </w:rPr>
      </w:pPr>
    </w:p>
    <w:p>
      <w:pPr>
        <w:jc w:val="left"/>
        <w:rPr>
          <w:b/>
          <w:bCs/>
          <w:color w:val="auto"/>
          <w:sz w:val="28"/>
          <w:szCs w:val="28"/>
        </w:rPr>
      </w:pPr>
      <w:r>
        <w:rPr>
          <w:rFonts w:hint="eastAsia"/>
          <w:b/>
          <w:bCs/>
          <w:color w:val="auto"/>
          <w:sz w:val="28"/>
          <w:szCs w:val="28"/>
        </w:rPr>
        <w:t>附件2：</w:t>
      </w:r>
    </w:p>
    <w:tbl>
      <w:tblPr>
        <w:tblStyle w:val="6"/>
        <w:tblpPr w:leftFromText="180" w:rightFromText="180" w:vertAnchor="page" w:horzAnchor="page" w:tblpX="1005" w:tblpY="2867"/>
        <w:tblOverlap w:val="never"/>
        <w:tblW w:w="102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875"/>
        <w:gridCol w:w="1364"/>
        <w:gridCol w:w="2085"/>
        <w:gridCol w:w="1965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5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姓  名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性  别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年    级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5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专业类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学  号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联系方式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10" w:type="dxa"/>
            <w:gridSpan w:val="2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3449" w:type="dxa"/>
            <w:gridSpan w:val="2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平均学分绩点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5" w:type="dxa"/>
            <w:vMerge w:val="restart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志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愿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顺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序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志愿1</w:t>
            </w:r>
          </w:p>
        </w:tc>
        <w:tc>
          <w:tcPr>
            <w:tcW w:w="7035" w:type="dxa"/>
            <w:gridSpan w:val="4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志愿2</w:t>
            </w:r>
          </w:p>
        </w:tc>
        <w:tc>
          <w:tcPr>
            <w:tcW w:w="7035" w:type="dxa"/>
            <w:gridSpan w:val="4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志愿3</w:t>
            </w:r>
          </w:p>
        </w:tc>
        <w:tc>
          <w:tcPr>
            <w:tcW w:w="7035" w:type="dxa"/>
            <w:gridSpan w:val="4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志愿4</w:t>
            </w:r>
          </w:p>
        </w:tc>
        <w:tc>
          <w:tcPr>
            <w:tcW w:w="7035" w:type="dxa"/>
            <w:gridSpan w:val="4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志愿5</w:t>
            </w:r>
          </w:p>
        </w:tc>
        <w:tc>
          <w:tcPr>
            <w:tcW w:w="7035" w:type="dxa"/>
            <w:gridSpan w:val="4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exact"/>
        </w:trPr>
        <w:tc>
          <w:tcPr>
            <w:tcW w:w="1335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人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确</w:t>
            </w:r>
          </w:p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4"/>
              </w:rPr>
              <w:t>认</w:t>
            </w:r>
          </w:p>
        </w:tc>
        <w:tc>
          <w:tcPr>
            <w:tcW w:w="8910" w:type="dxa"/>
            <w:gridSpan w:val="5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  <w:p>
            <w:pPr>
              <w:rPr>
                <w:color w:val="auto"/>
              </w:rPr>
            </w:pP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签字：</w:t>
            </w:r>
          </w:p>
          <w:p>
            <w:pPr>
              <w:jc w:val="center"/>
              <w:rPr>
                <w:color w:val="auto"/>
                <w:sz w:val="24"/>
              </w:rPr>
            </w:pP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</w:trPr>
        <w:tc>
          <w:tcPr>
            <w:tcW w:w="1335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辅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导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员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确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认</w:t>
            </w:r>
          </w:p>
        </w:tc>
        <w:tc>
          <w:tcPr>
            <w:tcW w:w="8910" w:type="dxa"/>
            <w:gridSpan w:val="5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  <w:p>
            <w:pPr>
              <w:rPr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签字：</w:t>
            </w:r>
          </w:p>
          <w:p>
            <w:pPr>
              <w:jc w:val="center"/>
              <w:rPr>
                <w:color w:val="auto"/>
                <w:sz w:val="24"/>
              </w:rPr>
            </w:pPr>
          </w:p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2" w:hRule="exact"/>
        </w:trPr>
        <w:tc>
          <w:tcPr>
            <w:tcW w:w="1335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现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院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确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认</w:t>
            </w:r>
          </w:p>
        </w:tc>
        <w:tc>
          <w:tcPr>
            <w:tcW w:w="8910" w:type="dxa"/>
            <w:gridSpan w:val="5"/>
            <w:vAlign w:val="center"/>
          </w:tcPr>
          <w:p>
            <w:pPr>
              <w:rPr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签字盖章：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</w:t>
            </w:r>
          </w:p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4"/>
              </w:rPr>
              <w:t xml:space="preserve"> 日期：</w:t>
            </w:r>
          </w:p>
        </w:tc>
      </w:tr>
    </w:tbl>
    <w:p>
      <w:pPr>
        <w:jc w:val="center"/>
        <w:rPr>
          <w:b/>
          <w:bCs/>
          <w:color w:val="auto"/>
          <w:sz w:val="36"/>
          <w:szCs w:val="36"/>
        </w:rPr>
      </w:pPr>
      <w:r>
        <w:rPr>
          <w:rFonts w:hint="eastAsia"/>
          <w:b/>
          <w:bCs/>
          <w:color w:val="auto"/>
          <w:sz w:val="36"/>
          <w:szCs w:val="36"/>
        </w:rPr>
        <w:t>公共管理类学生专业分流志愿填报表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2BD4467"/>
    <w:rsid w:val="00282292"/>
    <w:rsid w:val="00290CAF"/>
    <w:rsid w:val="0043734C"/>
    <w:rsid w:val="008D41B9"/>
    <w:rsid w:val="009B5C43"/>
    <w:rsid w:val="00EB187D"/>
    <w:rsid w:val="00EF1258"/>
    <w:rsid w:val="02BD4467"/>
    <w:rsid w:val="0313568B"/>
    <w:rsid w:val="03DD3784"/>
    <w:rsid w:val="09AD1722"/>
    <w:rsid w:val="09CE563D"/>
    <w:rsid w:val="1A574F1B"/>
    <w:rsid w:val="26AC4403"/>
    <w:rsid w:val="2DEF58D1"/>
    <w:rsid w:val="362A01FB"/>
    <w:rsid w:val="3BEC77C6"/>
    <w:rsid w:val="3EA2526D"/>
    <w:rsid w:val="446F7036"/>
    <w:rsid w:val="46A07406"/>
    <w:rsid w:val="486A0A6E"/>
    <w:rsid w:val="4BE340A0"/>
    <w:rsid w:val="4FDB450A"/>
    <w:rsid w:val="525574BA"/>
    <w:rsid w:val="55502D42"/>
    <w:rsid w:val="57F44B40"/>
    <w:rsid w:val="5A63109C"/>
    <w:rsid w:val="5B6370DE"/>
    <w:rsid w:val="5E5759F2"/>
    <w:rsid w:val="66A72CA5"/>
    <w:rsid w:val="66BB4725"/>
    <w:rsid w:val="6AFD3D4F"/>
    <w:rsid w:val="6BD31C9D"/>
    <w:rsid w:val="6EC05A84"/>
    <w:rsid w:val="702D0F8B"/>
    <w:rsid w:val="703468A1"/>
    <w:rsid w:val="71594F73"/>
    <w:rsid w:val="72371838"/>
    <w:rsid w:val="7A5D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224</Words>
  <Characters>1279</Characters>
  <Lines>10</Lines>
  <Paragraphs>2</Paragraphs>
  <TotalTime>7</TotalTime>
  <ScaleCrop>false</ScaleCrop>
  <LinksUpToDate>false</LinksUpToDate>
  <CharactersWithSpaces>1501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2021-10-06T09:31:00Z</dcterms:created>
  <dc:creator>赵旭阳</dc:creator>
  <cp:lastModifiedBy>弓</cp:lastModifiedBy>
  <dcterms:modified xsi:type="dcterms:W3CDTF">2021-12-30T09:34:41Z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C3D04323C3BA43ABB1DE8DCCF046BA62</vt:lpwstr>
  </property>
</Properties>
</file>